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0"/>
          <w:color w:val="2f5496"/>
          <w:sz w:val="96"/>
          <w:szCs w:val="96"/>
          <w:vertAlign w:val="baseline"/>
        </w:rPr>
      </w:pP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br w:type="textWrapping"/>
      </w:r>
      <w:r w:rsidDel="00000000" w:rsidR="00000000" w:rsidRPr="00000000">
        <w:drawing>
          <wp:anchor allowOverlap="1" behindDoc="1" distB="0" distT="0" distL="0" distR="0" hidden="0" layoutInCell="1" locked="0" relativeHeight="0" simplePos="0">
            <wp:simplePos x="0" y="0"/>
            <wp:positionH relativeFrom="column">
              <wp:posOffset>4462780</wp:posOffset>
            </wp:positionH>
            <wp:positionV relativeFrom="paragraph">
              <wp:posOffset>-408939</wp:posOffset>
            </wp:positionV>
            <wp:extent cx="1595120" cy="81851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95120" cy="818515"/>
                    </a:xfrm>
                    <a:prstGeom prst="rect"/>
                    <a:ln/>
                  </pic:spPr>
                </pic:pic>
              </a:graphicData>
            </a:graphic>
          </wp:anchor>
        </w:drawing>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002060"/>
          <w:sz w:val="56"/>
          <w:szCs w:val="56"/>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629285</wp:posOffset>
            </wp:positionH>
            <wp:positionV relativeFrom="paragraph">
              <wp:posOffset>415290</wp:posOffset>
            </wp:positionV>
            <wp:extent cx="2898775" cy="3333750"/>
            <wp:effectExtent b="0" l="0" r="0" t="0"/>
            <wp:wrapNone/>
            <wp:docPr id="2" name="image2.jpg"/>
            <a:graphic>
              <a:graphicData uri="http://schemas.openxmlformats.org/drawingml/2006/picture">
                <pic:pic>
                  <pic:nvPicPr>
                    <pic:cNvPr id="0" name="image2.jpg"/>
                    <pic:cNvPicPr preferRelativeResize="0"/>
                  </pic:nvPicPr>
                  <pic:blipFill>
                    <a:blip r:embed="rId7"/>
                    <a:srcRect b="82592" l="76689" r="1004" t="0"/>
                    <a:stretch>
                      <a:fillRect/>
                    </a:stretch>
                  </pic:blipFill>
                  <pic:spPr>
                    <a:xfrm>
                      <a:off x="0" y="0"/>
                      <a:ext cx="2898775" cy="3333750"/>
                    </a:xfrm>
                    <a:prstGeom prst="rect"/>
                    <a:ln/>
                  </pic:spPr>
                </pic:pic>
              </a:graphicData>
            </a:graphic>
          </wp:anchor>
        </w:drawing>
      </w:r>
    </w:p>
    <w:p w:rsidR="00000000" w:rsidDel="00000000" w:rsidP="00000000" w:rsidRDefault="00000000" w:rsidRPr="00000000" w14:paraId="00000005">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6">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8">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9">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color w:val="002060"/>
          <w:sz w:val="56"/>
          <w:szCs w:val="56"/>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color w:val="002060"/>
          <w:sz w:val="56"/>
          <w:szCs w:val="56"/>
          <w:vertAlign w:val="baseline"/>
        </w:rPr>
      </w:pP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2060"/>
          <w:sz w:val="56"/>
          <w:szCs w:val="56"/>
          <w:vertAlign w:val="baseline"/>
        </w:rPr>
      </w:pPr>
      <w:r w:rsidDel="00000000" w:rsidR="00000000" w:rsidRPr="00000000">
        <w:rPr>
          <w:rFonts w:ascii="Arial" w:cs="Arial" w:eastAsia="Arial" w:hAnsi="Arial"/>
          <w:color w:val="002060"/>
          <w:sz w:val="56"/>
          <w:szCs w:val="56"/>
          <w:vertAlign w:val="baseline"/>
          <w:rtl w:val="0"/>
        </w:rPr>
        <w:t xml:space="preserve">Exam Malpractice Policy</w:t>
      </w:r>
    </w:p>
    <w:p w:rsidR="00000000" w:rsidDel="00000000" w:rsidP="00000000" w:rsidRDefault="00000000" w:rsidRPr="00000000" w14:paraId="00000011">
      <w:pPr>
        <w:ind w:left="1440" w:firstLine="0"/>
        <w:rPr>
          <w:rFonts w:ascii="Arial" w:cs="Arial" w:eastAsia="Arial" w:hAnsi="Arial"/>
          <w:b w:val="0"/>
          <w:color w:val="002060"/>
          <w:vertAlign w:val="baseline"/>
        </w:rPr>
      </w:pPr>
      <w:r w:rsidDel="00000000" w:rsidR="00000000" w:rsidRPr="00000000">
        <w:rPr>
          <w:rtl w:val="0"/>
        </w:rPr>
      </w:r>
    </w:p>
    <w:p w:rsidR="00000000" w:rsidDel="00000000" w:rsidP="00000000" w:rsidRDefault="00000000" w:rsidRPr="00000000" w14:paraId="00000012">
      <w:pPr>
        <w:spacing w:after="120" w:lineRule="auto"/>
        <w:ind w:left="1440" w:firstLine="0"/>
        <w:rPr>
          <w:rFonts w:ascii="Arial" w:cs="Arial" w:eastAsia="Arial" w:hAnsi="Arial"/>
          <w:b w:val="0"/>
          <w:color w:val="002060"/>
          <w:vertAlign w:val="baseline"/>
        </w:rPr>
      </w:pPr>
      <w:r w:rsidDel="00000000" w:rsidR="00000000" w:rsidRPr="00000000">
        <w:rPr>
          <w:rFonts w:ascii="Arial" w:cs="Arial" w:eastAsia="Arial" w:hAnsi="Arial"/>
          <w:b w:val="1"/>
          <w:color w:val="002060"/>
          <w:vertAlign w:val="baseline"/>
          <w:rtl w:val="0"/>
        </w:rPr>
        <w:t xml:space="preserve">Approval and review:</w:t>
      </w:r>
      <w:r w:rsidDel="00000000" w:rsidR="00000000" w:rsidRPr="00000000">
        <w:rPr>
          <w:rtl w:val="0"/>
        </w:rPr>
      </w:r>
    </w:p>
    <w:p w:rsidR="00000000" w:rsidDel="00000000" w:rsidP="00000000" w:rsidRDefault="00000000" w:rsidRPr="00000000" w14:paraId="00000013">
      <w:pPr>
        <w:spacing w:after="120" w:lineRule="auto"/>
        <w:ind w:left="1440" w:firstLine="0"/>
        <w:rPr>
          <w:rFonts w:ascii="Arial" w:cs="Arial" w:eastAsia="Arial" w:hAnsi="Arial"/>
          <w:color w:val="002060"/>
          <w:vertAlign w:val="baseline"/>
        </w:rPr>
      </w:pPr>
      <w:r w:rsidDel="00000000" w:rsidR="00000000" w:rsidRPr="00000000">
        <w:rPr>
          <w:rFonts w:ascii="Arial" w:cs="Arial" w:eastAsia="Arial" w:hAnsi="Arial"/>
          <w:color w:val="002060"/>
          <w:vertAlign w:val="baseline"/>
          <w:rtl w:val="0"/>
        </w:rPr>
        <w:t xml:space="preserve">This policy is the responsibility of: Head of Centre/Exams Office</w:t>
      </w:r>
    </w:p>
    <w:p w:rsidR="00000000" w:rsidDel="00000000" w:rsidP="00000000" w:rsidRDefault="00000000" w:rsidRPr="00000000" w14:paraId="00000014">
      <w:pPr>
        <w:spacing w:after="120" w:lineRule="auto"/>
        <w:ind w:left="1440" w:firstLine="0"/>
        <w:rPr>
          <w:rFonts w:ascii="Arial" w:cs="Arial" w:eastAsia="Arial" w:hAnsi="Arial"/>
          <w:color w:val="002060"/>
          <w:sz w:val="18"/>
          <w:szCs w:val="18"/>
          <w:vertAlign w:val="baseline"/>
        </w:rPr>
      </w:pPr>
      <w:r w:rsidDel="00000000" w:rsidR="00000000" w:rsidRPr="00000000">
        <w:rPr>
          <w:rFonts w:ascii="Arial" w:cs="Arial" w:eastAsia="Arial" w:hAnsi="Arial"/>
          <w:color w:val="002060"/>
          <w:vertAlign w:val="baseline"/>
          <w:rtl w:val="0"/>
        </w:rPr>
        <w:t xml:space="preserve">This policy was approved by Dan Hudson</w:t>
      </w:r>
      <w:r w:rsidDel="00000000" w:rsidR="00000000" w:rsidRPr="00000000">
        <w:rPr>
          <w:rtl w:val="0"/>
        </w:rPr>
      </w:r>
    </w:p>
    <w:p w:rsidR="00000000" w:rsidDel="00000000" w:rsidP="00000000" w:rsidRDefault="00000000" w:rsidRPr="00000000" w14:paraId="00000015">
      <w:pPr>
        <w:spacing w:after="120" w:lineRule="auto"/>
        <w:ind w:left="1440" w:firstLine="0"/>
        <w:rPr>
          <w:rFonts w:ascii="Arial" w:cs="Arial" w:eastAsia="Arial" w:hAnsi="Arial"/>
          <w:vertAlign w:val="baseline"/>
        </w:rPr>
      </w:pPr>
      <w:r w:rsidDel="00000000" w:rsidR="00000000" w:rsidRPr="00000000">
        <w:rPr>
          <w:rFonts w:ascii="Arial" w:cs="Arial" w:eastAsia="Arial" w:hAnsi="Arial"/>
          <w:color w:val="002060"/>
          <w:vertAlign w:val="baseline"/>
          <w:rtl w:val="0"/>
        </w:rPr>
        <w:t xml:space="preserve">This policy is due for review: Sept 202</w:t>
      </w:r>
      <w:r w:rsidDel="00000000" w:rsidR="00000000" w:rsidRPr="00000000">
        <w:rPr>
          <w:rFonts w:ascii="Arial" w:cs="Arial" w:eastAsia="Arial" w:hAnsi="Arial"/>
          <w:color w:val="002060"/>
          <w:rtl w:val="0"/>
        </w:rPr>
        <w:t xml:space="preserve">6</w:t>
      </w:r>
      <w:r w:rsidDel="00000000" w:rsidR="00000000" w:rsidRPr="00000000">
        <w:rPr>
          <w:rtl w:val="0"/>
        </w:rPr>
      </w:r>
    </w:p>
    <w:p w:rsidR="00000000" w:rsidDel="00000000" w:rsidP="00000000" w:rsidRDefault="00000000" w:rsidRPr="00000000" w14:paraId="00000016">
      <w:pPr>
        <w:jc w:val="center"/>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sz w:val="20"/>
          <w:szCs w:val="2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264" w:lineRule="auto"/>
        <w:jc w:val="center"/>
        <w:rPr>
          <w:rFonts w:ascii="Arial" w:cs="Arial" w:eastAsia="Arial" w:hAnsi="Arial"/>
          <w:b w:val="0"/>
          <w:sz w:val="36"/>
          <w:szCs w:val="36"/>
          <w:vertAlign w:val="baseline"/>
        </w:rPr>
      </w:pPr>
      <w:r w:rsidDel="00000000" w:rsidR="00000000" w:rsidRPr="00000000">
        <w:rPr>
          <w:rFonts w:ascii="Arial" w:cs="Arial" w:eastAsia="Arial" w:hAnsi="Arial"/>
          <w:b w:val="1"/>
          <w:sz w:val="36"/>
          <w:szCs w:val="36"/>
          <w:vertAlign w:val="baseline"/>
          <w:rtl w:val="0"/>
        </w:rPr>
        <w:t xml:space="preserve">Malpractice Policy</w:t>
      </w:r>
      <w:r w:rsidDel="00000000" w:rsidR="00000000" w:rsidRPr="00000000">
        <w:rPr>
          <w:rtl w:val="0"/>
        </w:rPr>
      </w:r>
    </w:p>
    <w:p w:rsidR="00000000" w:rsidDel="00000000" w:rsidP="00000000" w:rsidRDefault="00000000" w:rsidRPr="00000000" w14:paraId="00000019">
      <w:pPr>
        <w:spacing w:line="264" w:lineRule="auto"/>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spacing w:line="264" w:lineRule="auto"/>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Malpractice Policy: Candidates</w:t>
      </w:r>
      <w:r w:rsidDel="00000000" w:rsidR="00000000" w:rsidRPr="00000000">
        <w:rPr>
          <w:rtl w:val="0"/>
        </w:rPr>
      </w:r>
    </w:p>
    <w:p w:rsidR="00000000" w:rsidDel="00000000" w:rsidP="00000000" w:rsidRDefault="00000000" w:rsidRPr="00000000" w14:paraId="0000001B">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C">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Holmleigh Park High School will follow JCQ procedures as laid down in the ‘Suspected Malpractice in Examinations and Assessment Policies and Procedures’ document for the relevant exam series and any other reference document as highlighted at the end of this policy. </w:t>
      </w:r>
    </w:p>
    <w:p w:rsidR="00000000" w:rsidDel="00000000" w:rsidP="00000000" w:rsidRDefault="00000000" w:rsidRPr="00000000" w14:paraId="0000001D">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policy sets out to define the procedures to be followed in the event of any dispute or allegation regarding candidate malpractice in the assessment of internally marked qualifications such as NEA or practical coursework and all exams marked externally.</w:t>
      </w:r>
    </w:p>
    <w:p w:rsidR="00000000" w:rsidDel="00000000" w:rsidP="00000000" w:rsidRDefault="00000000" w:rsidRPr="00000000" w14:paraId="0000001F">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0">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Examples of Malpractice</w:t>
      </w:r>
    </w:p>
    <w:p w:rsidR="00000000" w:rsidDel="00000000" w:rsidP="00000000" w:rsidRDefault="00000000" w:rsidRPr="00000000" w14:paraId="00000021">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2">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following are examples of malpractice by candidates with regard to </w:t>
      </w:r>
      <w:r w:rsidDel="00000000" w:rsidR="00000000" w:rsidRPr="00000000">
        <w:rPr>
          <w:rFonts w:ascii="Arial" w:cs="Arial" w:eastAsia="Arial" w:hAnsi="Arial"/>
          <w:b w:val="1"/>
          <w:sz w:val="22"/>
          <w:szCs w:val="22"/>
          <w:vertAlign w:val="baseline"/>
          <w:rtl w:val="0"/>
        </w:rPr>
        <w:t xml:space="preserve">NEA/coursework</w:t>
      </w:r>
      <w:r w:rsidDel="00000000" w:rsidR="00000000" w:rsidRPr="00000000">
        <w:rPr>
          <w:rFonts w:ascii="Arial" w:cs="Arial" w:eastAsia="Arial" w:hAnsi="Arial"/>
          <w:sz w:val="22"/>
          <w:szCs w:val="22"/>
          <w:vertAlign w:val="baseline"/>
          <w:rtl w:val="0"/>
        </w:rPr>
        <w:t xml:space="preserve"> based qualifications.  This list is not exhaustive:</w:t>
      </w:r>
    </w:p>
    <w:p w:rsidR="00000000" w:rsidDel="00000000" w:rsidP="00000000" w:rsidRDefault="00000000" w:rsidRPr="00000000" w14:paraId="00000023">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plagiarism: the copying and passing off as the candidate’s own work the whole or part of another person’s work.</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collusion: working collaboratively with other learners to produce work which is submitted as the candidate’s only.</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failing to abide by the instructions of a subject teacher: this may refer to the use of resources which the candidates have specifically been told not to use.</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alteration of any results document.</w:t>
      </w:r>
    </w:p>
    <w:p w:rsidR="00000000" w:rsidDel="00000000" w:rsidP="00000000" w:rsidRDefault="00000000" w:rsidRPr="00000000" w14:paraId="00000028">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9">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member of staff suspects a candidate of malpractice, they will first inform Head of Centre, Exams Office or nominated SLT member. The candidate will be informed of the situation and the allegation explained. </w:t>
      </w:r>
    </w:p>
    <w:p w:rsidR="00000000" w:rsidDel="00000000" w:rsidP="00000000" w:rsidRDefault="00000000" w:rsidRPr="00000000" w14:paraId="0000002A">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Should the candidate be found guilty of malpractice after having signed the authentication form then the matter is no longer subject to internal school discipline and must be reported to the relevant awarding body.  </w:t>
      </w:r>
    </w:p>
    <w:p w:rsidR="00000000" w:rsidDel="00000000" w:rsidP="00000000" w:rsidRDefault="00000000" w:rsidRPr="00000000" w14:paraId="0000002B">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C">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following are examples of malpractice by candidates with regard to </w:t>
      </w:r>
      <w:r w:rsidDel="00000000" w:rsidR="00000000" w:rsidRPr="00000000">
        <w:rPr>
          <w:rFonts w:ascii="Arial" w:cs="Arial" w:eastAsia="Arial" w:hAnsi="Arial"/>
          <w:b w:val="1"/>
          <w:sz w:val="22"/>
          <w:szCs w:val="22"/>
          <w:vertAlign w:val="baseline"/>
          <w:rtl w:val="0"/>
        </w:rPr>
        <w:t xml:space="preserve">externally assessed</w:t>
      </w:r>
      <w:r w:rsidDel="00000000" w:rsidR="00000000" w:rsidRPr="00000000">
        <w:rPr>
          <w:rFonts w:ascii="Arial" w:cs="Arial" w:eastAsia="Arial" w:hAnsi="Arial"/>
          <w:sz w:val="22"/>
          <w:szCs w:val="22"/>
          <w:vertAlign w:val="baseline"/>
          <w:rtl w:val="0"/>
        </w:rPr>
        <w:t xml:space="preserve"> examinations.  This list is not exhaustive:</w:t>
      </w:r>
    </w:p>
    <w:p w:rsidR="00000000" w:rsidDel="00000000" w:rsidP="00000000" w:rsidRDefault="00000000" w:rsidRPr="00000000" w14:paraId="0000002D">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talking during an examination.</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a mobile phone into an examination.</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any other item, electronic or otherwise not accepted by the Awarding Body into an exam.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leaving the examination room without permission.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passing notes or papers or accepting notes or papers from another candidate.</w:t>
      </w:r>
    </w:p>
    <w:p w:rsidR="00000000" w:rsidDel="00000000" w:rsidP="00000000" w:rsidRDefault="00000000" w:rsidRPr="00000000" w14:paraId="00000033">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4">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If a member of staff/invigilator suspects a candidate of malpractice during an examination, they will first inform Head of Centre/Exams Office. The candidate will be informed and the allegation explained.  The candidate will have the opportunity to give their side of the story before any final decision is made by SLT.  </w:t>
      </w:r>
    </w:p>
    <w:p w:rsidR="00000000" w:rsidDel="00000000" w:rsidP="00000000" w:rsidRDefault="00000000" w:rsidRPr="00000000" w14:paraId="00000035">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incidences of malpractice will be investigated by the Head of Centre and the Awarding Body will be informed. A letter will be sent home informing parents/guardians of the incident of suspected malpractice.</w:t>
      </w:r>
    </w:p>
    <w:p w:rsidR="00000000" w:rsidDel="00000000" w:rsidP="00000000" w:rsidRDefault="00000000" w:rsidRPr="00000000" w14:paraId="00000036">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7">
      <w:pPr>
        <w:spacing w:line="264" w:lineRule="auto"/>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Appeals</w:t>
      </w:r>
    </w:p>
    <w:p w:rsidR="00000000" w:rsidDel="00000000" w:rsidP="00000000" w:rsidRDefault="00000000" w:rsidRPr="00000000" w14:paraId="00000038">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9">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the event that a malpractice decision is made which the candidate feels is unfair then the candidate has the right to appeal in line with our Appeals Policy.</w:t>
      </w:r>
    </w:p>
    <w:p w:rsidR="00000000" w:rsidDel="00000000" w:rsidP="00000000" w:rsidRDefault="00000000" w:rsidRPr="00000000" w14:paraId="0000003A">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B">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D">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E">
      <w:pPr>
        <w:spacing w:line="264" w:lineRule="auto"/>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Malpractice Policy: Staff</w:t>
      </w:r>
      <w:r w:rsidDel="00000000" w:rsidR="00000000" w:rsidRPr="00000000">
        <w:rPr>
          <w:rtl w:val="0"/>
        </w:rPr>
      </w:r>
    </w:p>
    <w:p w:rsidR="00000000" w:rsidDel="00000000" w:rsidP="00000000" w:rsidRDefault="00000000" w:rsidRPr="00000000" w14:paraId="0000003F">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0">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Holmleigh Park School will follow JCQ procedures as laid down in the ‘Suspected Malpractice in Examinations and Assessment Policies and Procedures’ document for the relevant exam series and any other reference document as highlighted in the appendices.</w:t>
      </w:r>
    </w:p>
    <w:p w:rsidR="00000000" w:rsidDel="00000000" w:rsidP="00000000" w:rsidRDefault="00000000" w:rsidRPr="00000000" w14:paraId="00000041">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2">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policy sets out to define the procedures to be followed in the event of any dispute or allegation regarding Centre staff malpractice in the assessment of internally marked qualifications such as NEA or practical coursework and all exams marked externally.</w:t>
      </w:r>
    </w:p>
    <w:p w:rsidR="00000000" w:rsidDel="00000000" w:rsidP="00000000" w:rsidRDefault="00000000" w:rsidRPr="00000000" w14:paraId="00000043">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Malpractice which includes maladministration and non-compliance, means any act, default or practice which is a breach of the Regulations or which: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compromises, attempts to compromise or may compromise the process of assessment, the integrity of any qualification or the validity of a result or certificate; and/or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damages the authority, reputation or credibility of any awarding body or centre or any officer, employee or agent of any awarding body or centre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Malpractice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Attempted or actual malpractice activity is unacceptable. The following are examples of malpractice by staff with regards to portfolio-based qualifications. This list is not exhaustive: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tampering with candidate-controlled assessments, coursework or non-examination assessments after collection and before despatch to the awarding body/examiner/moderator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failing to keep candidates’ computer files secure which contain controlled assessments, coursework or non-examination assessments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assisting candidates with the production of work outside of the awarding body guidance </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fabricating assessment and/or internal verification records or authentication statements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Malpractice Procedure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Investigations into allegations will be conducted by Head of Centre or a nominated representative, who will ensure the initial investigation is carried out in a timely fashion.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investigation will involve establishing the full facts and circumstances of any alleged malpractice. It should not be assumed that because an allegation has been made, it is true.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appropriate, the staff member concerned and any potential witnesses will be interviewed and their version of events recorded.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member of staff will be: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informed of the allegation made against them </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informed what evidence there is to support the allegation </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informed of the possible consequences, should malpractice be proven </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given the opportunity to consider their response to the allegations given and the opportunity to submit a written statement</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given the opportunity to seek advice (as necessary) and to provide a supplementary statement (if required) </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informed of the appeals procedure, should a decision be made against them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informed of the possibility that information relating to a serious case of malpractice will be shared with the relevant awarding body and may be shared with other awarding bodies, JCQ and any other relevant body.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work is submitted for moderation/verification or for marking which not the candidate’s own work, the awarding body may not be able to give that candidate a result.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Malpractice Sanctions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8"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sanctions will follow the code as laid down in the Staff Disciplinary Procedure</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58" w:before="0" w:line="240" w:lineRule="auto"/>
        <w:ind w:left="720" w:right="0" w:hanging="360"/>
        <w:jc w:val="left"/>
        <w:rPr>
          <w:b w:val="0"/>
          <w:i w:val="0"/>
          <w:smallCaps w:val="0"/>
          <w:strike w:val="0"/>
          <w:color w:val="000000"/>
          <w:sz w:val="22"/>
          <w:szCs w:val="22"/>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of Centre or a nominated representative will lead all investigations and forward completed paperwork to the Exam Boards.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58"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Appeals </w:t>
      </w:r>
    </w:p>
    <w:p w:rsidR="00000000" w:rsidDel="00000000" w:rsidP="00000000" w:rsidRDefault="00000000" w:rsidRPr="00000000" w14:paraId="00000074">
      <w:pPr>
        <w:spacing w:line="264"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member of staff may appeal against sanctions imposed on them. Appeals will be conducted in line with the organisations Appeals Policy.</w:t>
      </w:r>
    </w:p>
    <w:p w:rsidR="00000000" w:rsidDel="00000000" w:rsidP="00000000" w:rsidRDefault="00000000" w:rsidRPr="00000000" w14:paraId="00000075">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6">
      <w:pPr>
        <w:spacing w:line="264"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7">
      <w:pPr>
        <w:spacing w:line="264" w:lineRule="auto"/>
        <w:rPr>
          <w:rFonts w:ascii="Arial" w:cs="Arial" w:eastAsia="Arial" w:hAnsi="Arial"/>
          <w:color w:val="0070c0"/>
          <w:sz w:val="22"/>
          <w:szCs w:val="22"/>
          <w:vertAlign w:val="baseline"/>
        </w:rPr>
      </w:pPr>
      <w:r w:rsidDel="00000000" w:rsidR="00000000" w:rsidRPr="00000000">
        <w:rPr>
          <w:rFonts w:ascii="Arial" w:cs="Arial" w:eastAsia="Arial" w:hAnsi="Arial"/>
          <w:color w:val="0070c0"/>
          <w:sz w:val="22"/>
          <w:szCs w:val="22"/>
          <w:vertAlign w:val="baseline"/>
          <w:rtl w:val="0"/>
        </w:rPr>
        <w:t xml:space="preserve">Reference documents:</w:t>
      </w:r>
    </w:p>
    <w:p w:rsidR="00000000" w:rsidDel="00000000" w:rsidP="00000000" w:rsidRDefault="00000000" w:rsidRPr="00000000" w14:paraId="00000078">
      <w:pPr>
        <w:spacing w:line="264" w:lineRule="auto"/>
        <w:rPr>
          <w:rFonts w:ascii="Arial" w:cs="Arial" w:eastAsia="Arial" w:hAnsi="Arial"/>
          <w:color w:val="0070c0"/>
          <w:sz w:val="22"/>
          <w:szCs w:val="22"/>
          <w:vertAlign w:val="baseline"/>
        </w:rPr>
      </w:pPr>
      <w:r w:rsidDel="00000000" w:rsidR="00000000" w:rsidRPr="00000000">
        <w:rPr>
          <w:rtl w:val="0"/>
        </w:rPr>
      </w:r>
    </w:p>
    <w:p w:rsidR="00000000" w:rsidDel="00000000" w:rsidP="00000000" w:rsidRDefault="00000000" w:rsidRPr="00000000" w14:paraId="00000079">
      <w:pPr>
        <w:spacing w:line="264" w:lineRule="auto"/>
        <w:rPr>
          <w:rFonts w:ascii="Arial" w:cs="Arial" w:eastAsia="Arial" w:hAnsi="Arial"/>
          <w:color w:val="0070c0"/>
          <w:sz w:val="22"/>
          <w:szCs w:val="22"/>
          <w:vertAlign w:val="baseline"/>
        </w:rPr>
      </w:pPr>
      <w:r w:rsidDel="00000000" w:rsidR="00000000" w:rsidRPr="00000000">
        <w:rPr>
          <w:rFonts w:ascii="Arial" w:cs="Arial" w:eastAsia="Arial" w:hAnsi="Arial"/>
          <w:color w:val="0070c0"/>
          <w:sz w:val="22"/>
          <w:szCs w:val="22"/>
          <w:vertAlign w:val="baseline"/>
          <w:rtl w:val="0"/>
        </w:rPr>
        <w:t xml:space="preserve">JCQ</w:t>
        <w:tab/>
        <w:tab/>
        <w:t xml:space="preserve">Suspected Malpractice in Examinations and Assessment Policies and Procedures – to be</w:t>
      </w:r>
    </w:p>
    <w:p w:rsidR="00000000" w:rsidDel="00000000" w:rsidP="00000000" w:rsidRDefault="00000000" w:rsidRPr="00000000" w14:paraId="0000007A">
      <w:pPr>
        <w:spacing w:line="264" w:lineRule="auto"/>
        <w:rPr>
          <w:rFonts w:ascii="Arial" w:cs="Arial" w:eastAsia="Arial" w:hAnsi="Arial"/>
          <w:color w:val="0070c0"/>
          <w:sz w:val="22"/>
          <w:szCs w:val="22"/>
          <w:vertAlign w:val="baseline"/>
        </w:rPr>
      </w:pPr>
      <w:r w:rsidDel="00000000" w:rsidR="00000000" w:rsidRPr="00000000">
        <w:rPr>
          <w:rFonts w:ascii="Arial" w:cs="Arial" w:eastAsia="Arial" w:hAnsi="Arial"/>
          <w:color w:val="0070c0"/>
          <w:sz w:val="22"/>
          <w:szCs w:val="22"/>
          <w:vertAlign w:val="baseline"/>
          <w:rtl w:val="0"/>
        </w:rPr>
        <w:tab/>
        <w:tab/>
        <w:t xml:space="preserve">referenced for every incident to ensure most up to date information is known.    </w:t>
      </w:r>
    </w:p>
    <w:p w:rsidR="00000000" w:rsidDel="00000000" w:rsidP="00000000" w:rsidRDefault="00000000" w:rsidRPr="00000000" w14:paraId="0000007B">
      <w:pPr>
        <w:spacing w:line="264" w:lineRule="auto"/>
        <w:rPr>
          <w:rFonts w:ascii="Arial" w:cs="Arial" w:eastAsia="Arial" w:hAnsi="Arial"/>
          <w:color w:val="0070c0"/>
          <w:sz w:val="22"/>
          <w:szCs w:val="22"/>
          <w:vertAlign w:val="baseline"/>
        </w:rPr>
      </w:pPr>
      <w:r w:rsidDel="00000000" w:rsidR="00000000" w:rsidRPr="00000000">
        <w:rPr>
          <w:rFonts w:ascii="Arial" w:cs="Arial" w:eastAsia="Arial" w:hAnsi="Arial"/>
          <w:color w:val="0070c0"/>
          <w:sz w:val="22"/>
          <w:szCs w:val="22"/>
          <w:vertAlign w:val="baseline"/>
          <w:rtl w:val="0"/>
        </w:rPr>
        <w:t xml:space="preserve">JCQ</w:t>
        <w:tab/>
        <w:tab/>
        <w:t xml:space="preserve">Public Interest Disclosure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70c0"/>
          <w:sz w:val="22"/>
          <w:szCs w:val="22"/>
          <w:u w:val="none"/>
          <w:shd w:fill="auto" w:val="clear"/>
          <w:vertAlign w:val="baseline"/>
        </w:rPr>
      </w:pPr>
      <w:r w:rsidDel="00000000" w:rsidR="00000000" w:rsidRPr="00000000">
        <w:rPr>
          <w:rFonts w:ascii="Arial" w:cs="Arial" w:eastAsia="Arial" w:hAnsi="Arial"/>
          <w:b w:val="0"/>
          <w:i w:val="0"/>
          <w:smallCaps w:val="0"/>
          <w:strike w:val="0"/>
          <w:color w:val="0070c0"/>
          <w:sz w:val="22"/>
          <w:szCs w:val="22"/>
          <w:u w:val="none"/>
          <w:shd w:fill="auto" w:val="clear"/>
          <w:vertAlign w:val="baseline"/>
          <w:rtl w:val="0"/>
        </w:rPr>
        <w:t xml:space="preserve">OCR</w:t>
        <w:tab/>
        <w:tab/>
        <w:t xml:space="preserve">Instructions for Suspected Malpractice – General Qualifications and Cambridge Nationals</w:t>
      </w:r>
    </w:p>
    <w:p w:rsidR="00000000" w:rsidDel="00000000" w:rsidP="00000000" w:rsidRDefault="00000000" w:rsidRPr="00000000" w14:paraId="0000007D">
      <w:pPr>
        <w:spacing w:line="264" w:lineRule="auto"/>
        <w:rPr>
          <w:rFonts w:ascii="Arial" w:cs="Arial" w:eastAsia="Arial" w:hAnsi="Arial"/>
          <w:color w:val="0070c0"/>
          <w:sz w:val="22"/>
          <w:szCs w:val="22"/>
          <w:vertAlign w:val="baseline"/>
        </w:rPr>
      </w:pPr>
      <w:r w:rsidDel="00000000" w:rsidR="00000000" w:rsidRPr="00000000">
        <w:rPr>
          <w:rFonts w:ascii="Arial" w:cs="Arial" w:eastAsia="Arial" w:hAnsi="Arial"/>
          <w:color w:val="0070c0"/>
          <w:sz w:val="22"/>
          <w:szCs w:val="22"/>
          <w:vertAlign w:val="baseline"/>
          <w:rtl w:val="0"/>
        </w:rPr>
        <w:t xml:space="preserve">Pearson</w:t>
        <w:tab/>
        <w:t xml:space="preserve">Centre Guidance and maladministration in vocational qualifications</w:t>
      </w:r>
    </w:p>
    <w:p w:rsidR="00000000" w:rsidDel="00000000" w:rsidP="00000000" w:rsidRDefault="00000000" w:rsidRPr="00000000" w14:paraId="0000007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F">
      <w:pPr>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80">
      <w:pPr>
        <w:rPr>
          <w:rFonts w:ascii="Arial" w:cs="Arial" w:eastAsia="Arial" w:hAnsi="Arial"/>
          <w:sz w:val="20"/>
          <w:szCs w:val="20"/>
          <w:vertAlign w:val="baseline"/>
        </w:rPr>
      </w:pPr>
      <w:r w:rsidDel="00000000" w:rsidR="00000000" w:rsidRPr="00000000">
        <w:rPr>
          <w:rtl w:val="0"/>
        </w:rPr>
      </w:r>
    </w:p>
    <w:sectPr>
      <w:pgSz w:h="16838" w:w="11906" w:orient="portrait"/>
      <w:pgMar w:bottom="340" w:top="567"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360" w:before="360" w:lineRule="auto"/>
      <w:jc w:val="center"/>
    </w:pPr>
    <w:rPr>
      <w:rFonts w:ascii="Verdana" w:cs="Verdana" w:eastAsia="Verdana" w:hAnsi="Verdana"/>
      <w:b w:val="1"/>
      <w:color w:val="7a012e"/>
      <w:sz w:val="36"/>
      <w:szCs w:val="3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